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240" w:lineRule="auto"/>
        <w:jc w:val="center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百县</w:t>
      </w:r>
      <w:r>
        <w:rPr>
          <w:rFonts w:hint="eastAsia" w:ascii="仿宋" w:hAnsi="仿宋" w:eastAsia="仿宋" w:cs="仿宋"/>
          <w:lang w:val="en-US" w:eastAsia="zh-CN"/>
        </w:rPr>
        <w:t>万顷</w:t>
      </w:r>
      <w:r>
        <w:rPr>
          <w:rFonts w:hint="eastAsia" w:ascii="仿宋" w:hAnsi="仿宋" w:eastAsia="仿宋" w:cs="仿宋"/>
        </w:rPr>
        <w:t>土壤健康与单产提升示范</w:t>
      </w:r>
      <w:r>
        <w:rPr>
          <w:rFonts w:hint="eastAsia" w:ascii="仿宋" w:hAnsi="仿宋" w:eastAsia="仿宋" w:cs="仿宋"/>
          <w:lang w:val="en-US" w:eastAsia="zh-CN"/>
        </w:rPr>
        <w:t>行动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240" w:lineRule="auto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实施方案（细则）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540" w:lineRule="exact"/>
        <w:jc w:val="left"/>
        <w:textAlignment w:val="auto"/>
        <w:rPr>
          <w:rFonts w:hint="eastAsia" w:ascii="黑体" w:hAnsi="宋体" w:eastAsia="黑体" w:cs="仿宋_GB2312"/>
          <w:kern w:val="2"/>
          <w:sz w:val="32"/>
          <w:szCs w:val="32"/>
        </w:rPr>
      </w:pPr>
      <w:bookmarkStart w:id="0" w:name="OLE_LINK3"/>
      <w:r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  <w:t>一、项目总则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根据中央一号文件（2025年）关于“粮食大面积单产提升”和“农业新质生产力”的战略部署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落实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  <w:t>国家重点研发计划“北方旱作区中低产田土壤健康养护与产能提升协同技术与示范”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项目目标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  <w:t>，制定本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实施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  <w:t>方案。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通过微生物绿色防控技术，以项目课题组提供功能菌株为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支撑，构建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  <w:t>“功能菌株—现场发酵—活菌现用”模式，推动土壤改良与绿色防控，实现单产提升与农业可持续发展。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540" w:lineRule="exact"/>
        <w:jc w:val="left"/>
        <w:textAlignment w:val="auto"/>
        <w:rPr>
          <w:rFonts w:hint="default" w:ascii="黑体" w:hAnsi="宋体" w:eastAsia="黑体" w:cs="仿宋_GB2312"/>
          <w:kern w:val="2"/>
          <w:sz w:val="32"/>
          <w:szCs w:val="32"/>
          <w:lang w:val="en-US" w:eastAsia="zh-CN"/>
        </w:rPr>
      </w:pPr>
      <w:r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  <w:t>二、实施原则</w:t>
      </w:r>
    </w:p>
    <w:p>
      <w:pPr>
        <w:numPr>
          <w:ilvl w:val="0"/>
          <w:numId w:val="1"/>
        </w:numPr>
        <w:spacing w:line="360" w:lineRule="auto"/>
        <w:ind w:left="6" w:firstLine="414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科学规划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因地制宜选择示范田，匹配功能菌株与作物需求</w:t>
      </w:r>
      <w:r>
        <w:rPr>
          <w:rFonts w:hint="eastAsia" w:ascii="仿宋" w:hAnsi="仿宋" w:eastAsia="仿宋" w:cs="仿宋"/>
          <w:kern w:val="2"/>
          <w:sz w:val="28"/>
          <w:szCs w:val="28"/>
        </w:rPr>
        <w:t>。</w:t>
      </w:r>
    </w:p>
    <w:p>
      <w:pPr>
        <w:numPr>
          <w:ilvl w:val="0"/>
          <w:numId w:val="1"/>
        </w:numPr>
        <w:spacing w:line="360" w:lineRule="auto"/>
        <w:ind w:left="6" w:firstLine="414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全程可控：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建立“菌剂生产—施用—监测—反馈”闭环管理体系。</w:t>
      </w:r>
    </w:p>
    <w:p>
      <w:pPr>
        <w:numPr>
          <w:ilvl w:val="0"/>
          <w:numId w:val="1"/>
        </w:numPr>
        <w:spacing w:line="360" w:lineRule="auto"/>
        <w:ind w:left="6" w:firstLine="414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技术落地：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精准落实菌剂施用，根据效果形成报告，确保技术落地。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540" w:lineRule="exact"/>
        <w:jc w:val="left"/>
        <w:textAlignment w:val="auto"/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</w:pPr>
      <w:bookmarkStart w:id="1" w:name="OLE_LINK2"/>
      <w:r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  <w:t>三、实施步骤与分工</w:t>
      </w:r>
    </w:p>
    <w:bookmarkEnd w:id="1"/>
    <w:p>
      <w:pPr>
        <w:pStyle w:val="3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（一）筹备阶段（2025年3月）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1.启动仪式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：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kern w:val="2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项目课题组、协作单位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kern w:val="2"/>
          <w:sz w:val="28"/>
          <w:szCs w:val="28"/>
        </w:rPr>
        <w:t>邀请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相关单位代表</w:t>
      </w:r>
      <w:r>
        <w:rPr>
          <w:rFonts w:hint="eastAsia" w:ascii="仿宋" w:hAnsi="仿宋" w:eastAsia="仿宋" w:cs="仿宋"/>
          <w:kern w:val="2"/>
          <w:sz w:val="28"/>
          <w:szCs w:val="28"/>
        </w:rPr>
        <w:t>、科研合作单位代表及部分意向县合作单位代表，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启动仪式</w:t>
      </w:r>
      <w:r>
        <w:rPr>
          <w:rFonts w:hint="eastAsia" w:ascii="仿宋" w:hAnsi="仿宋" w:eastAsia="仿宋" w:cs="仿宋"/>
          <w:kern w:val="2"/>
          <w:sz w:val="28"/>
          <w:szCs w:val="28"/>
        </w:rPr>
        <w:t>宣贯项目内容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2.公开招募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：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kern w:val="2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项目课题组、协作单位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发布招募公告，收集报名县信息，课题组进行审核确认名单。</w:t>
      </w:r>
    </w:p>
    <w:p>
      <w:pP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3.示范田信息填报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：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</w:t>
      </w:r>
      <w:bookmarkStart w:id="2" w:name="OLE_LINK1"/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县域农技推广中心</w:t>
      </w:r>
      <w:bookmarkEnd w:id="2"/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由县域农技推广中心筛选连片地块，优先选择中低产田、病虫害频发区域，交付《示范田建设信息登记表》（附件三）。</w:t>
      </w:r>
    </w:p>
    <w:p>
      <w:pPr>
        <w:pStyle w:val="3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（二）执行阶段（2025年4月—10月）</w:t>
      </w:r>
    </w:p>
    <w:p>
      <w:pPr>
        <w:numPr>
          <w:ilvl w:val="0"/>
          <w:numId w:val="2"/>
        </w:numPr>
        <w:spacing w:line="360" w:lineRule="auto"/>
        <w:ind w:left="6" w:firstLine="414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菌剂生产与配送：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北京绿氮生物科技有限公司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根据县合作单位提供的示范建设信息，制定菌剂生产及发运计划，严格按照菌剂需求及时配送至县示范田区；</w:t>
      </w:r>
    </w:p>
    <w:p>
      <w:pPr>
        <w:numPr>
          <w:ilvl w:val="0"/>
          <w:numId w:val="2"/>
        </w:numPr>
        <w:spacing w:line="360" w:lineRule="auto"/>
        <w:ind w:left="6" w:firstLine="414"/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菌剂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接收及施用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县域农技推广中心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接收微生物菌剂，按照菌剂推荐用法（附件四：《微生物菌剂技术应用方案》）及登记示范田位置使用；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严格把控菌剂活性时效，避免储存超期导致菌剂效果衰减，需确保菌剂在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送达七天内使用完毕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6" w:firstLine="414"/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跟踪</w:t>
      </w:r>
      <w:r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管理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县域农技推广中心、项目课题组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记录使用前后信息、对照示范田对比信息，并上报图文资料；项目课题组定期对项目进行效果跟踪和技术指导。</w:t>
      </w:r>
    </w:p>
    <w:p>
      <w:pPr>
        <w:pStyle w:val="3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（三）总结阶段</w:t>
      </w:r>
    </w:p>
    <w:p>
      <w:pPr>
        <w:numPr>
          <w:ilvl w:val="0"/>
          <w:numId w:val="3"/>
        </w:numPr>
        <w:spacing w:line="360" w:lineRule="auto"/>
        <w:ind w:left="6" w:firstLine="414"/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县域效果评估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责任方：县域农技推广中心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根据实际情况对示范区及对照区进行对比评估，</w:t>
      </w:r>
      <w:r>
        <w:rPr>
          <w:rFonts w:hint="eastAsia" w:ascii="仿宋" w:hAnsi="仿宋" w:eastAsia="仿宋" w:cs="仿宋"/>
          <w:kern w:val="2"/>
          <w:sz w:val="28"/>
          <w:szCs w:val="28"/>
        </w:rPr>
        <w:t>进行全面、科学的评价，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并做县示范项目总结，出具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应用效果评估报告（附件五：《百县万顷土壤健康与单产提升行动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县级评估报告》）。</w:t>
      </w:r>
    </w:p>
    <w:p>
      <w:pPr>
        <w:numPr>
          <w:ilvl w:val="0"/>
          <w:numId w:val="3"/>
        </w:numPr>
        <w:spacing w:line="360" w:lineRule="auto"/>
        <w:ind w:left="6" w:firstLine="414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项目总结报告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责任方：项目课题组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内容：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根据各县域单位提供的效果评估结果，</w:t>
      </w:r>
      <w:r>
        <w:rPr>
          <w:rFonts w:hint="eastAsia" w:ascii="仿宋" w:hAnsi="仿宋" w:eastAsia="仿宋" w:cs="仿宋"/>
          <w:kern w:val="2"/>
          <w:sz w:val="28"/>
          <w:szCs w:val="28"/>
        </w:rPr>
        <w:t>进行全面、科学的评价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，出具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项目年度总结报告。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540" w:lineRule="exact"/>
        <w:jc w:val="left"/>
        <w:textAlignment w:val="auto"/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</w:pPr>
      <w:r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  <w:t>四、风险管控</w:t>
      </w:r>
    </w:p>
    <w:p>
      <w:pPr>
        <w:numPr>
          <w:ilvl w:val="0"/>
          <w:numId w:val="4"/>
        </w:numPr>
        <w:spacing w:line="360" w:lineRule="auto"/>
        <w:ind w:left="6" w:firstLine="414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农民接受度风险：</w:t>
      </w:r>
      <w:r>
        <w:rPr>
          <w:rFonts w:hint="eastAsia" w:ascii="仿宋" w:hAnsi="仿宋" w:eastAsia="仿宋" w:cs="仿宋"/>
          <w:kern w:val="2"/>
          <w:sz w:val="28"/>
          <w:szCs w:val="28"/>
        </w:rPr>
        <w:t>通过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构建示范田及开展培训讲座</w:t>
      </w:r>
      <w:r>
        <w:rPr>
          <w:rFonts w:hint="eastAsia" w:ascii="仿宋" w:hAnsi="仿宋" w:eastAsia="仿宋" w:cs="仿宋"/>
          <w:kern w:val="2"/>
          <w:sz w:val="28"/>
          <w:szCs w:val="28"/>
        </w:rPr>
        <w:t>等多种方式，加强对农民的宣传教育，提高农民对微生物绿色防控技术的认知和接受程度；建立农民反馈机制，及时了解农民在项目实施过程中遇到的问题和疑虑。</w:t>
      </w:r>
    </w:p>
    <w:p>
      <w:pPr>
        <w:numPr>
          <w:ilvl w:val="0"/>
          <w:numId w:val="4"/>
        </w:numPr>
        <w:spacing w:line="360" w:lineRule="auto"/>
        <w:ind w:left="6" w:firstLine="414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病虫害风险责任说明：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微</w:t>
      </w:r>
      <w:r>
        <w:rPr>
          <w:rFonts w:hint="eastAsia" w:ascii="仿宋" w:hAnsi="仿宋" w:eastAsia="仿宋" w:cs="仿宋"/>
          <w:kern w:val="2"/>
          <w:sz w:val="28"/>
          <w:szCs w:val="28"/>
        </w:rPr>
        <w:t>生物防治技术主要以预防及初期病害防控为主，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目的在于减少农药施药量或频次，不能完全替代化学药剂</w:t>
      </w:r>
      <w:r>
        <w:rPr>
          <w:rFonts w:hint="eastAsia" w:ascii="仿宋" w:hAnsi="仿宋" w:eastAsia="仿宋" w:cs="仿宋"/>
          <w:kern w:val="2"/>
          <w:sz w:val="28"/>
          <w:szCs w:val="28"/>
        </w:rPr>
        <w:t>进行防控或治疗，若因人为操作或天气原因导致病害爆发造成的经济损失，项目实施主体及协作单位不应承担相应责任。</w:t>
      </w:r>
    </w:p>
    <w:p>
      <w:pPr>
        <w:numPr>
          <w:ilvl w:val="0"/>
          <w:numId w:val="4"/>
        </w:numPr>
        <w:spacing w:line="360" w:lineRule="auto"/>
        <w:ind w:left="6" w:firstLine="414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收益表现风险责任说明：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微生物促生菌技术主要辅助作物生长，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目的在于减少化肥施用量或频次，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不能完全替代化肥肥料效果，</w:t>
      </w:r>
      <w:r>
        <w:rPr>
          <w:rFonts w:hint="eastAsia" w:ascii="仿宋" w:hAnsi="仿宋" w:eastAsia="仿宋" w:cs="仿宋"/>
          <w:kern w:val="2"/>
          <w:sz w:val="28"/>
          <w:szCs w:val="28"/>
        </w:rPr>
        <w:t>若因人为操作或天气原因造成的经济损失，项目实施主体及协作单位不应承担相应责任。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540" w:lineRule="exact"/>
        <w:jc w:val="left"/>
        <w:textAlignment w:val="auto"/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</w:pPr>
      <w:r>
        <w:rPr>
          <w:rFonts w:hint="eastAsia" w:ascii="黑体" w:hAnsi="宋体" w:eastAsia="黑体" w:cs="仿宋_GB2312"/>
          <w:kern w:val="2"/>
          <w:sz w:val="32"/>
          <w:szCs w:val="32"/>
          <w:lang w:val="en-US" w:eastAsia="zh-CN"/>
        </w:rPr>
        <w:t>五、成本预算</w:t>
      </w:r>
    </w:p>
    <w:p>
      <w:pPr>
        <w:numPr>
          <w:ilvl w:val="0"/>
          <w:numId w:val="5"/>
        </w:numPr>
        <w:spacing w:line="360" w:lineRule="auto"/>
        <w:ind w:left="6" w:firstLine="414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菌剂费用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</w:rPr>
        <w:t>微生物菌液由北京绿氮生物科技有限公司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负责生产配送</w:t>
      </w:r>
      <w:r>
        <w:rPr>
          <w:rFonts w:hint="eastAsia" w:ascii="仿宋" w:hAnsi="仿宋" w:eastAsia="仿宋" w:cs="仿宋"/>
          <w:kern w:val="2"/>
          <w:sz w:val="28"/>
          <w:szCs w:val="28"/>
        </w:rPr>
        <w:t>，相关费用由课题组项目经费支持，根据示范田总面积、菌剂使用量以及生产成本进行精确核算，确保菌液的质量和稳定供应。</w:t>
      </w:r>
    </w:p>
    <w:p>
      <w:pPr>
        <w:numPr>
          <w:ilvl w:val="0"/>
          <w:numId w:val="5"/>
        </w:numPr>
        <w:spacing w:line="360" w:lineRule="auto"/>
        <w:ind w:left="6" w:firstLine="414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组织实施费用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</w:rPr>
        <w:t>由县域农技推广中心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负责</w:t>
      </w:r>
      <w:r>
        <w:rPr>
          <w:rFonts w:hint="eastAsia" w:ascii="仿宋" w:hAnsi="仿宋" w:eastAsia="仿宋" w:cs="仿宋"/>
          <w:kern w:val="2"/>
          <w:sz w:val="28"/>
          <w:szCs w:val="28"/>
        </w:rPr>
        <w:t>，主要用于示范田的菌剂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使用</w:t>
      </w:r>
      <w:r>
        <w:rPr>
          <w:rFonts w:hint="eastAsia" w:ascii="仿宋" w:hAnsi="仿宋" w:eastAsia="仿宋" w:cs="仿宋"/>
          <w:kern w:val="2"/>
          <w:sz w:val="28"/>
          <w:szCs w:val="28"/>
        </w:rPr>
        <w:t>，确保示范田的菌剂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在有效期内</w:t>
      </w:r>
      <w:r>
        <w:rPr>
          <w:rFonts w:hint="eastAsia" w:ascii="仿宋" w:hAnsi="仿宋" w:eastAsia="仿宋" w:cs="仿宋"/>
          <w:kern w:val="2"/>
          <w:sz w:val="28"/>
          <w:szCs w:val="28"/>
        </w:rPr>
        <w:t>正常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应用</w:t>
      </w:r>
      <w:r>
        <w:rPr>
          <w:rFonts w:hint="eastAsia" w:ascii="仿宋" w:hAnsi="仿宋" w:eastAsia="仿宋" w:cs="仿宋"/>
          <w:kern w:val="2"/>
          <w:sz w:val="28"/>
          <w:szCs w:val="28"/>
        </w:rPr>
        <w:t>。</w:t>
      </w:r>
    </w:p>
    <w:p>
      <w:pPr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8DE1EC"/>
    <w:multiLevelType w:val="singleLevel"/>
    <w:tmpl w:val="8D8DE1E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1">
    <w:nsid w:val="9CB5D4F4"/>
    <w:multiLevelType w:val="singleLevel"/>
    <w:tmpl w:val="9CB5D4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2">
    <w:nsid w:val="A0EC5758"/>
    <w:multiLevelType w:val="singleLevel"/>
    <w:tmpl w:val="A0EC575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3">
    <w:nsid w:val="ECC1DCAE"/>
    <w:multiLevelType w:val="singleLevel"/>
    <w:tmpl w:val="ECC1DC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sz w:val="32"/>
        <w:szCs w:val="32"/>
      </w:rPr>
    </w:lvl>
  </w:abstractNum>
  <w:abstractNum w:abstractNumId="4">
    <w:nsid w:val="6EB4712A"/>
    <w:multiLevelType w:val="singleLevel"/>
    <w:tmpl w:val="6EB471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0NjYwNWY2ZGY0Njg3MjkxNWQyOThiZjkzZWIxNDMifQ=="/>
  </w:docVars>
  <w:rsids>
    <w:rsidRoot w:val="001C0109"/>
    <w:rsid w:val="001C0109"/>
    <w:rsid w:val="004C5244"/>
    <w:rsid w:val="00802188"/>
    <w:rsid w:val="00B378B8"/>
    <w:rsid w:val="00FC5101"/>
    <w:rsid w:val="024D228F"/>
    <w:rsid w:val="02836A3B"/>
    <w:rsid w:val="04A94A51"/>
    <w:rsid w:val="06447F55"/>
    <w:rsid w:val="07EB4CA2"/>
    <w:rsid w:val="0BF32F26"/>
    <w:rsid w:val="0CB3217A"/>
    <w:rsid w:val="0EEF4E8D"/>
    <w:rsid w:val="10AC3EE9"/>
    <w:rsid w:val="13C775FF"/>
    <w:rsid w:val="1479563A"/>
    <w:rsid w:val="15346D3B"/>
    <w:rsid w:val="1AF5570C"/>
    <w:rsid w:val="1F220E1B"/>
    <w:rsid w:val="1F2B6426"/>
    <w:rsid w:val="209D06DB"/>
    <w:rsid w:val="21990874"/>
    <w:rsid w:val="235C4D0D"/>
    <w:rsid w:val="23AA58A8"/>
    <w:rsid w:val="241678C4"/>
    <w:rsid w:val="29675022"/>
    <w:rsid w:val="2FD76301"/>
    <w:rsid w:val="33126ED8"/>
    <w:rsid w:val="34E500D8"/>
    <w:rsid w:val="35191146"/>
    <w:rsid w:val="364610BA"/>
    <w:rsid w:val="37013FB5"/>
    <w:rsid w:val="37807115"/>
    <w:rsid w:val="3A9A530C"/>
    <w:rsid w:val="3B891860"/>
    <w:rsid w:val="3D202664"/>
    <w:rsid w:val="3EFD254B"/>
    <w:rsid w:val="442E3F67"/>
    <w:rsid w:val="4A6718D3"/>
    <w:rsid w:val="4BFD41B8"/>
    <w:rsid w:val="515E6A00"/>
    <w:rsid w:val="5457131C"/>
    <w:rsid w:val="5E4F5866"/>
    <w:rsid w:val="5E984E7E"/>
    <w:rsid w:val="613C4296"/>
    <w:rsid w:val="65A1123D"/>
    <w:rsid w:val="66AA4588"/>
    <w:rsid w:val="696860F3"/>
    <w:rsid w:val="6CDE72B1"/>
    <w:rsid w:val="6CED3FC7"/>
    <w:rsid w:val="6F247264"/>
    <w:rsid w:val="72704835"/>
    <w:rsid w:val="741F11AE"/>
    <w:rsid w:val="75EA6D90"/>
    <w:rsid w:val="76AA3BBE"/>
    <w:rsid w:val="792500B2"/>
    <w:rsid w:val="7AC80117"/>
    <w:rsid w:val="7EA8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3">
    <w:name w:val="heading 2"/>
    <w:next w:val="1"/>
    <w:qFormat/>
    <w:uiPriority w:val="0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4">
    <w:name w:val="heading 3"/>
    <w:next w:val="1"/>
    <w:qFormat/>
    <w:uiPriority w:val="0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spacing w:before="260" w:after="120" w:line="288" w:lineRule="auto"/>
      <w:outlineLvl w:val="3"/>
    </w:pPr>
    <w:rPr>
      <w:rFonts w:ascii="Arial" w:hAnsi="Arial" w:eastAsia="等线" w:cs="Arial"/>
      <w:b/>
      <w:bCs/>
      <w:sz w:val="28"/>
      <w:szCs w:val="28"/>
      <w:lang w:val="en-US" w:eastAsia="zh-CN" w:bidi="ar-SA"/>
    </w:rPr>
  </w:style>
  <w:style w:type="paragraph" w:styleId="6">
    <w:name w:val="heading 5"/>
    <w:next w:val="1"/>
    <w:qFormat/>
    <w:uiPriority w:val="0"/>
    <w:pPr>
      <w:spacing w:before="240" w:after="120" w:line="288" w:lineRule="auto"/>
      <w:outlineLvl w:val="4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paragraph" w:styleId="7">
    <w:name w:val="heading 6"/>
    <w:next w:val="1"/>
    <w:qFormat/>
    <w:uiPriority w:val="0"/>
    <w:pPr>
      <w:spacing w:before="240" w:after="120" w:line="288" w:lineRule="auto"/>
      <w:outlineLvl w:val="5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7"/>
    <w:semiHidden/>
    <w:unhideWhenUsed/>
    <w:qFormat/>
    <w:uiPriority w:val="99"/>
    <w:rPr>
      <w:rFonts w:asciiTheme="minorHAnsi" w:hAnsiTheme="minorHAnsi" w:eastAsiaTheme="minorEastAsia" w:cstheme="minorBidi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10">
    <w:name w:val="Title"/>
    <w:qFormat/>
    <w:uiPriority w:val="0"/>
    <w:pPr>
      <w:spacing w:before="480" w:after="480" w:line="288" w:lineRule="auto"/>
    </w:pPr>
    <w:rPr>
      <w:rFonts w:ascii="Arial" w:hAnsi="Arial" w:eastAsia="等线" w:cs="Arial"/>
      <w:b/>
      <w:bCs/>
      <w:sz w:val="52"/>
      <w:szCs w:val="52"/>
      <w:lang w:val="en-US" w:eastAsia="zh-CN" w:bidi="ar-SA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unhideWhenUsed/>
    <w:qFormat/>
    <w:uiPriority w:val="99"/>
    <w:rPr>
      <w:color w:val="0563C1"/>
      <w:u w:val="single"/>
    </w:rPr>
  </w:style>
  <w:style w:type="character" w:styleId="15">
    <w:name w:val="footnote reference"/>
    <w:semiHidden/>
    <w:unhideWhenUsed/>
    <w:qFormat/>
    <w:uiPriority w:val="99"/>
    <w:rPr>
      <w:vertAlign w:val="superscript"/>
    </w:rPr>
  </w:style>
  <w:style w:type="paragraph" w:styleId="16">
    <w:name w:val="List Paragraph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17">
    <w:name w:val="脚注文本 字符"/>
    <w:link w:val="8"/>
    <w:semiHidden/>
    <w:unhideWhenUsed/>
    <w:qFormat/>
    <w:uiPriority w:val="99"/>
    <w:rPr>
      <w:sz w:val="20"/>
      <w:szCs w:val="20"/>
    </w:rPr>
  </w:style>
  <w:style w:type="paragraph" w:customStyle="1" w:styleId="18">
    <w:name w:val="_Style 13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  <w:style w:type="paragraph" w:customStyle="1" w:styleId="19">
    <w:name w:val="_Style 14"/>
    <w:qFormat/>
    <w:uiPriority w:val="0"/>
    <w:pPr>
      <w:spacing w:before="120" w:after="120" w:line="288" w:lineRule="auto"/>
    </w:pPr>
    <w:rPr>
      <w:rFonts w:ascii="Arial" w:hAnsi="Arial" w:eastAsia="等线" w:cs="Arial"/>
      <w:color w:val="8F959E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1600</Words>
  <Characters>1627</Characters>
  <Lines>33</Lines>
  <Paragraphs>9</Paragraphs>
  <TotalTime>4</TotalTime>
  <ScaleCrop>false</ScaleCrop>
  <LinksUpToDate>false</LinksUpToDate>
  <CharactersWithSpaces>1627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2025-02-24T01:15:00Z</dcterms:created>
  <dc:creator>Un-named</dc:creator>
  <cp:lastModifiedBy>Yaowei Zhan</cp:lastModifiedBy>
  <cp:lastPrinted>2025-02-24T01:15:00Z</cp:lastPrinted>
  <dcterms:modified xsi:type="dcterms:W3CDTF">2025-03-07T05:46:35Z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5484A7333E3E488CA6615AD6AC6869ED_13</vt:lpwstr>
  </property>
  <property fmtid="{D5CDD505-2E9C-101B-9397-08002B2CF9AE}" pid="4" name="KSOTemplateDocerSaveRecord">
    <vt:lpwstr>eyJoZGlkIjoiZWMwNDNkYTNhYzc2OGNhYjBhMjZjMTQxYmJjNzhkMmIiLCJ1c2VySWQiOiI0NTI5MTc1NjgifQ==</vt:lpwstr>
  </property>
</Properties>
</file>