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center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百县万</w:t>
      </w:r>
      <w:r>
        <w:rPr>
          <w:rFonts w:hint="eastAsia" w:ascii="仿宋" w:hAnsi="仿宋" w:eastAsia="仿宋" w:cs="仿宋"/>
          <w:lang w:val="en-US" w:eastAsia="zh-CN"/>
        </w:rPr>
        <w:t>顷</w:t>
      </w:r>
      <w:r>
        <w:rPr>
          <w:rFonts w:hint="eastAsia" w:ascii="仿宋" w:hAnsi="仿宋" w:eastAsia="仿宋" w:cs="仿宋"/>
        </w:rPr>
        <w:t>土壤健康与单产提升示范</w:t>
      </w:r>
      <w:r>
        <w:rPr>
          <w:rFonts w:hint="eastAsia" w:ascii="仿宋" w:hAnsi="仿宋" w:eastAsia="仿宋" w:cs="仿宋"/>
          <w:lang w:val="en-US" w:eastAsia="zh-CN"/>
        </w:rPr>
        <w:t>行动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评估报告</w:t>
      </w:r>
    </w:p>
    <w:p>
      <w:pPr>
        <w:pStyle w:val="3"/>
      </w:pPr>
      <w:r>
        <w:rPr>
          <w:rFonts w:hint="eastAsia"/>
        </w:rPr>
        <w:t>一、评估结果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病虫害防治效果结果</w:t>
      </w:r>
    </w:p>
    <w:p>
      <w:pPr>
        <w:ind w:firstLine="560" w:firstLineChars="200"/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（例）示范区一：该示范区靶标作物为[作物品类及品种]，使用微生物菌剂处理组的发病率和病情指数显著低于对照，与对照组相比，在 [具体病害名称] 的防治上，发病率降低了 [X]%，病情指数降低了 [X]%，表明项目提供的微生物菌剂对该病害具有较好的防治效果；在 [具体虫害名称] 的防治上，虫口密度降低了 [X]%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default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示范区二：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...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减肥减药效果结果</w:t>
      </w:r>
    </w:p>
    <w:p>
      <w:pPr>
        <w:ind w:firstLine="560" w:firstLineChars="200"/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（例）示范区一：微生物菌剂处理组的化学肥料和化学农药使用量显著低于对照，与对照组相比，化学肥料用量降低 [X]%，化学农药用量降低 [X]%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示范区二：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...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经济效益对比</w:t>
      </w:r>
    </w:p>
    <w:p>
      <w:pPr>
        <w:ind w:firstLine="560" w:firstLineChars="200"/>
        <w:rPr>
          <w:rFonts w:ascii="仿宋" w:hAnsi="仿宋" w:eastAsia="仿宋" w:cs="仿宋"/>
          <w:color w:val="7F7F7F" w:themeColor="background1" w:themeShade="8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（例）在[作物品类及品种]上，微生物菌剂处理组相比对照组，单亩降低人工成本 [X]元，产量表现增加[X]%，收获收益增加 [X]元，节约农药化肥成本 [X]元，单亩总经济收益增加 [X]元，说明该项目生物菌剂能够有效降本增效，实现环境友好的同时提高收益结果。</w:t>
      </w:r>
    </w:p>
    <w:p>
      <w:pPr>
        <w:rPr>
          <w:rFonts w:ascii="仿宋" w:hAnsi="仿宋" w:eastAsia="仿宋" w:cs="仿宋"/>
          <w:color w:val="7F7F7F" w:themeColor="background1" w:themeShade="8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br w:type="page"/>
      </w:r>
    </w:p>
    <w:p>
      <w:pPr>
        <w:ind w:firstLine="560" w:firstLineChars="200"/>
        <w:rPr>
          <w:rFonts w:ascii="仿宋" w:hAnsi="仿宋" w:eastAsia="仿宋" w:cs="仿宋"/>
          <w:color w:val="7F7F7F" w:themeColor="background1" w:themeShade="80"/>
          <w:kern w:val="2"/>
          <w:sz w:val="28"/>
          <w:szCs w:val="28"/>
        </w:rPr>
      </w:pPr>
    </w:p>
    <w:p>
      <w:pPr>
        <w:pStyle w:val="3"/>
      </w:pPr>
      <w:r>
        <w:rPr>
          <w:rFonts w:hint="eastAsia"/>
        </w:rPr>
        <w:t>二</w:t>
      </w:r>
      <w:r>
        <w:t>、结论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7F7F7F" w:themeColor="background1" w:themeShade="8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（例）本试验示范项目表明，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该项目提供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的绿色防控技术菌剂在作物绿色生物防治中具有显著的应用效果。能够有效降低病虫害的发病率和病情指数，减少害虫虫口密度，对作物的主要病虫害具有良好的防治效果；能够有效减少化学投入品用量，促进作物的生长发育，提高作物的产量和品质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ascii="仿宋" w:hAnsi="仿宋" w:eastAsia="仿宋" w:cs="仿宋"/>
          <w:color w:val="7F7F7F" w:themeColor="background1" w:themeShade="8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从经济效益和生态效益来看，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该应用结果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具有成本优势，增加收益，同时对生态环境友好，有利于农业的可持续发展。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该应用对本县土壤健康及单产提升意义重大，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在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本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地形成一定的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示范效应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本地种植户认可度较高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。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建议该项目课题组持续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开展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示范工作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上级部门加大对该项目的支持力度，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为农业生产提供更有效的保障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>助力农业绿色转型</w:t>
      </w: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</w:rPr>
        <w:t>。</w:t>
      </w:r>
    </w:p>
    <w:p>
      <w:pPr>
        <w:spacing w:line="360" w:lineRule="auto"/>
        <w:rPr>
          <w:rFonts w:hint="default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</w:pPr>
    </w:p>
    <w:p>
      <w:pPr>
        <w:wordWrap w:val="0"/>
        <w:spacing w:line="360" w:lineRule="auto"/>
        <w:ind w:left="420" w:firstLine="560" w:firstLineChars="200"/>
        <w:jc w:val="right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           </w:t>
      </w:r>
    </w:p>
    <w:p>
      <w:pPr>
        <w:spacing w:line="360" w:lineRule="auto"/>
        <w:ind w:left="420" w:firstLine="560" w:firstLineChars="200"/>
        <w:jc w:val="right"/>
        <w:rPr>
          <w:rFonts w:ascii="仿宋" w:hAnsi="仿宋" w:eastAsia="仿宋" w:cs="仿宋"/>
          <w:kern w:val="2"/>
          <w:sz w:val="28"/>
          <w:szCs w:val="28"/>
        </w:rPr>
      </w:pPr>
    </w:p>
    <w:p>
      <w:pPr>
        <w:spacing w:line="360" w:lineRule="auto"/>
        <w:jc w:val="both"/>
        <w:rPr>
          <w:rFonts w:ascii="仿宋" w:hAnsi="仿宋" w:eastAsia="仿宋" w:cs="仿宋"/>
          <w:kern w:val="2"/>
          <w:sz w:val="28"/>
          <w:szCs w:val="28"/>
        </w:rPr>
      </w:pPr>
    </w:p>
    <w:p>
      <w:pPr>
        <w:wordWrap w:val="0"/>
        <w:spacing w:line="360" w:lineRule="auto"/>
        <w:ind w:left="420" w:firstLine="560" w:firstLineChars="200"/>
        <w:jc w:val="right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负责人签字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            </w:t>
      </w:r>
    </w:p>
    <w:p>
      <w:pPr>
        <w:wordWrap w:val="0"/>
        <w:spacing w:line="360" w:lineRule="auto"/>
        <w:ind w:left="420"/>
        <w:jc w:val="right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单位</w:t>
      </w:r>
      <w:r>
        <w:rPr>
          <w:rFonts w:hint="eastAsia" w:ascii="仿宋" w:hAnsi="仿宋" w:eastAsia="仿宋" w:cs="仿宋"/>
          <w:kern w:val="2"/>
          <w:sz w:val="28"/>
          <w:szCs w:val="28"/>
        </w:rPr>
        <w:t>盖章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            </w:t>
      </w:r>
    </w:p>
    <w:p>
      <w:pPr>
        <w:wordWrap w:val="0"/>
        <w:spacing w:line="360" w:lineRule="auto"/>
        <w:ind w:left="420"/>
        <w:jc w:val="right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7F7F7F" w:themeColor="background1" w:themeShade="80"/>
          <w:kern w:val="2"/>
          <w:sz w:val="28"/>
          <w:szCs w:val="28"/>
          <w:lang w:val="en-US" w:eastAsia="zh-CN"/>
        </w:rPr>
        <w:t xml:space="preserve">    </w:t>
      </w:r>
    </w:p>
    <w:p>
      <w:pPr>
        <w:wordWrap w:val="0"/>
        <w:spacing w:line="360" w:lineRule="auto"/>
        <w:ind w:left="420"/>
        <w:jc w:val="right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日期：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FE4C0E"/>
    <w:multiLevelType w:val="singleLevel"/>
    <w:tmpl w:val="F5FE4C0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jYwNWY2ZGY0Njg3MjkxNWQyOThiZjkzZWIxNDMifQ=="/>
  </w:docVars>
  <w:rsids>
    <w:rsidRoot w:val="7EC87050"/>
    <w:rsid w:val="0395399A"/>
    <w:rsid w:val="057B4F08"/>
    <w:rsid w:val="0DFC255F"/>
    <w:rsid w:val="51C878E8"/>
    <w:rsid w:val="5CB660AB"/>
    <w:rsid w:val="7EC870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3">
    <w:name w:val="heading 2"/>
    <w:next w:val="1"/>
    <w:qFormat/>
    <w:uiPriority w:val="0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3</Pages>
  <Words>1041</Words>
  <Characters>1082</Characters>
  <Lines>0</Lines>
  <Paragraphs>0</Paragraphs>
  <TotalTime>2</TotalTime>
  <ScaleCrop>false</ScaleCrop>
  <LinksUpToDate>false</LinksUpToDate>
  <CharactersWithSpaces>1122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2025-02-28T05:17:00Z</dcterms:created>
  <dc:creator>Yaowei Zhan</dc:creator>
  <cp:lastModifiedBy>Yaowei Zhan</cp:lastModifiedBy>
  <dcterms:modified xsi:type="dcterms:W3CDTF">2025-03-07T05:30:00Z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D0C562AC6AF44635B8309C3CED460E93_13</vt:lpwstr>
  </property>
  <property fmtid="{D5CDD505-2E9C-101B-9397-08002B2CF9AE}" pid="4" name="KSOTemplateDocerSaveRecord">
    <vt:lpwstr>eyJoZGlkIjoiZWMwNDNkYTNhYzc2OGNhYjBhMjZjMTQxYmJjNzhkMmIiLCJ1c2VySWQiOiI0NTI5MTc1NjgifQ==</vt:lpwstr>
  </property>
</Properties>
</file>