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hint="eastAsia" w:ascii="仿宋" w:hAnsi="仿宋" w:eastAsia="仿宋" w:cs="仿宋"/>
          <w:b/>
          <w:bCs/>
          <w:kern w:val="2"/>
          <w:szCs w:val="21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附件二：微生物菌剂技术应用方案</w:t>
      </w:r>
      <w:bookmarkStart w:id="0" w:name="_GoBack"/>
      <w:bookmarkEnd w:id="0"/>
    </w:p>
    <w:tbl>
      <w:tblPr>
        <w:tblStyle w:val="2"/>
        <w:tblW w:w="95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029"/>
        <w:gridCol w:w="1331"/>
        <w:gridCol w:w="733"/>
        <w:gridCol w:w="1396"/>
        <w:gridCol w:w="1834"/>
        <w:gridCol w:w="684"/>
        <w:gridCol w:w="732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主要微生物菌剂</w:t>
            </w:r>
          </w:p>
        </w:tc>
        <w:tc>
          <w:tcPr>
            <w:tcW w:w="1029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针对性病虫害</w:t>
            </w:r>
          </w:p>
        </w:tc>
        <w:tc>
          <w:tcPr>
            <w:tcW w:w="1331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适用作物</w:t>
            </w:r>
          </w:p>
        </w:tc>
        <w:tc>
          <w:tcPr>
            <w:tcW w:w="733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施用方式</w:t>
            </w:r>
          </w:p>
        </w:tc>
        <w:tc>
          <w:tcPr>
            <w:tcW w:w="1396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用法用量</w:t>
            </w:r>
          </w:p>
        </w:tc>
        <w:tc>
          <w:tcPr>
            <w:tcW w:w="1834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施用注意事项</w:t>
            </w:r>
          </w:p>
        </w:tc>
        <w:tc>
          <w:tcPr>
            <w:tcW w:w="684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面积要求</w:t>
            </w:r>
          </w:p>
        </w:tc>
        <w:tc>
          <w:tcPr>
            <w:tcW w:w="732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提供频次</w:t>
            </w:r>
          </w:p>
        </w:tc>
        <w:tc>
          <w:tcPr>
            <w:tcW w:w="780" w:type="dxa"/>
            <w:tcBorders>
              <w:top w:val="single" w:color="5D3D1C" w:sz="8" w:space="0"/>
              <w:left w:val="nil"/>
              <w:bottom w:val="single" w:color="5D3D1C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lang w:val="en-US" w:eastAsia="zh-CN" w:bidi="ar"/>
              </w:rPr>
              <w:t>总量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哈茨木霉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立枯病、根腐病等土传病害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马铃薯、红薯、山药等根茎类作物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1L/亩，随水灌溉，结合水肥一体化，避免与农药同时使用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灌根前先疏松土壤，确保药剂能充分渗透到根部周围土壤；避免与强碱性农药混用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200亩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0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淡紫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拟青霉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根结线虫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黄瓜、西瓜、甜瓜等瓜类作物，玫瑰、康乃馨等花卉类作物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1L/亩，随水灌溉，结合水肥一体化，避免与农药同时使用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灌根时间宜选择在作物生长前期或发病初期，可根据线虫发生程度适当增加灌根次数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200亩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0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苏云金芽孢杆菌（BT菌）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菜青虫、棉铃虫等鳞翅目害虫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白菜、甘蓝、番茄、辣椒等蔬菜类作物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喷施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500ml/亩，稀释后均匀喷雾，选择无风晴天的上午 10 点前或下午 4 点后进行喷施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喷施前确保喷头雾化效果良好，保证菌剂均匀覆盖作物叶片，避免在高温、强光时段喷施，以免影响菌剂活性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200亩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100L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白僵菌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蚜虫、白粉虱、蓟马等刺吸式害虫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苹果、梨、葡萄、草莓等果树类作物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喷施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500ml/亩，稀释后全株均匀喷施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喷施时注意保护好自身防护，避免吸入菌剂；若施药后 12 小时内遇雨，需补喷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200亩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100L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0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复合芽孢杆菌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土壤改良，促生长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经济作物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经济作物2L/亩/次，整个生育期5次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随水灌溉，结合水肥一体化，避免与农药同时使用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经济作物100 亩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1000L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057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复合芽孢杆菌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土壤改良，促生长</w:t>
            </w:r>
          </w:p>
        </w:tc>
        <w:tc>
          <w:tcPr>
            <w:tcW w:w="1331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大田作物</w:t>
            </w:r>
          </w:p>
        </w:tc>
        <w:tc>
          <w:tcPr>
            <w:tcW w:w="733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灌根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大田作物：0.5L/亩/次，整个生育期5次；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随水灌溉，结合水肥一体化，避免与农药同时使用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大田作物100 亩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250L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8796" w:type="dxa"/>
            <w:gridSpan w:val="8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总计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1850L</w:t>
            </w:r>
          </w:p>
        </w:tc>
      </w:tr>
    </w:tbl>
    <w:p>
      <w:pPr>
        <w:spacing w:line="288" w:lineRule="auto"/>
        <w:rPr>
          <w:rFonts w:hint="eastAsia" w:ascii="仿宋" w:hAnsi="仿宋" w:eastAsia="仿宋" w:cs="仿宋"/>
          <w:b/>
          <w:bCs/>
          <w:kern w:val="2"/>
          <w:szCs w:val="21"/>
        </w:rPr>
      </w:pPr>
    </w:p>
    <w:p>
      <w:pPr>
        <w:spacing w:line="288" w:lineRule="auto"/>
        <w:rPr>
          <w:rFonts w:hint="eastAsia" w:ascii="仿宋" w:hAnsi="仿宋" w:eastAsia="仿宋" w:cs="仿宋"/>
          <w:b/>
          <w:bCs/>
          <w:kern w:val="2"/>
          <w:szCs w:val="21"/>
        </w:rPr>
      </w:pPr>
      <w:r>
        <w:rPr>
          <w:rFonts w:hint="eastAsia" w:ascii="仿宋" w:hAnsi="仿宋" w:eastAsia="仿宋" w:cs="仿宋"/>
          <w:b/>
          <w:bCs/>
          <w:kern w:val="2"/>
          <w:szCs w:val="21"/>
        </w:rPr>
        <w:t>*注意事项</w:t>
      </w:r>
    </w:p>
    <w:p>
      <w:pPr>
        <w:spacing w:line="288" w:lineRule="auto"/>
        <w:rPr>
          <w:rFonts w:hint="eastAsia" w:ascii="仿宋" w:hAnsi="仿宋" w:eastAsia="仿宋" w:cs="仿宋"/>
          <w:kern w:val="2"/>
          <w:szCs w:val="21"/>
        </w:rPr>
      </w:pPr>
      <w:r>
        <w:rPr>
          <w:rFonts w:hint="eastAsia" w:ascii="仿宋" w:hAnsi="仿宋" w:eastAsia="仿宋" w:cs="仿宋"/>
          <w:kern w:val="2"/>
          <w:szCs w:val="21"/>
        </w:rPr>
        <w:t>注意避免与化学药剂冲突杀菌剂间隔期：施用菌剂前后7天内避免使用广谱杀菌剂（如多菌灵），或选择兼容性产品（如与井冈霉素混用）。</w:t>
      </w:r>
    </w:p>
    <w:p>
      <w:pPr>
        <w:spacing w:line="288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2"/>
          <w:szCs w:val="21"/>
        </w:rPr>
        <w:t>化肥影响：高浓度氮肥（如尿素）抑制菌活性，建议菌剂与有机肥或缓释肥配合使用；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jYwNWY2ZGY0Njg3MjkxNWQyOThiZjkzZWIxNDMifQ=="/>
  </w:docVars>
  <w:rsids>
    <w:rsidRoot w:val="43FE0069"/>
    <w:rsid w:val="240E4BD8"/>
    <w:rsid w:val="2BEA182E"/>
    <w:rsid w:val="2E7E6154"/>
    <w:rsid w:val="43FE0069"/>
    <w:rsid w:val="463A07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6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710</Words>
  <Characters>768</Characters>
  <Lines>0</Lines>
  <Paragraphs>0</Paragraphs>
  <TotalTime>2</TotalTime>
  <ScaleCrop>false</ScaleCrop>
  <LinksUpToDate>false</LinksUpToDate>
  <CharactersWithSpaces>776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2025-03-03T05:26:00Z</dcterms:created>
  <dc:creator>Yaowei Zhan</dc:creator>
  <cp:lastModifiedBy>Yaowei Zhan</cp:lastModifiedBy>
  <dcterms:modified xsi:type="dcterms:W3CDTF">2025-03-07T05:31:46Z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3BCB8782261245F8875EE081445FEE32_13</vt:lpwstr>
  </property>
</Properties>
</file>