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方正黑体_GBK" w:hAnsi="Times New Roman" w:eastAsia="方正黑体_GBK"/>
          <w:bCs/>
          <w:sz w:val="30"/>
          <w:szCs w:val="30"/>
        </w:rPr>
      </w:pPr>
      <w:r>
        <w:rPr>
          <w:rFonts w:hint="eastAsia" w:ascii="方正黑体_GBK" w:hAnsi="Times New Roman" w:eastAsia="方正黑体_GBK"/>
          <w:bCs/>
          <w:sz w:val="30"/>
          <w:szCs w:val="30"/>
        </w:rPr>
        <w:t>附件2</w:t>
      </w:r>
    </w:p>
    <w:p>
      <w:pPr>
        <w:ind w:left="45"/>
        <w:jc w:val="center"/>
        <w:outlineLvl w:val="0"/>
        <w:rPr>
          <w:rFonts w:ascii="方正小标宋_GBK" w:hAnsi="Times New Roman" w:eastAsia="方正小标宋_GBK"/>
          <w:bCs/>
          <w:sz w:val="36"/>
          <w:szCs w:val="36"/>
        </w:rPr>
      </w:pPr>
      <w:r>
        <w:rPr>
          <w:rFonts w:hint="eastAsia" w:ascii="方正小标宋_GBK" w:hAnsi="Times New Roman" w:eastAsia="方正小标宋_GBK"/>
          <w:bCs/>
          <w:sz w:val="36"/>
          <w:szCs w:val="36"/>
        </w:rPr>
        <w:t>投标一览表</w:t>
      </w:r>
    </w:p>
    <w:p>
      <w:pPr>
        <w:ind w:left="44" w:leftChars="21" w:firstLine="135" w:firstLineChars="48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项目名称</w:t>
      </w:r>
      <w:r>
        <w:rPr>
          <w:rFonts w:ascii="Times New Roman" w:hAnsi="Times New Roman" w:eastAsia="仿宋_GB2312"/>
          <w:bCs/>
          <w:sz w:val="28"/>
          <w:szCs w:val="28"/>
        </w:rPr>
        <w:t>：</w:t>
      </w:r>
      <w:r>
        <w:rPr>
          <w:rFonts w:hint="eastAsia" w:ascii="仿宋_GB2312" w:hAnsi="Times New Roman" w:eastAsia="仿宋_GB2312"/>
          <w:bCs/>
          <w:sz w:val="30"/>
          <w:szCs w:val="30"/>
        </w:rPr>
        <w:t>中国农业科学院农业环境与可持续发展研究所</w:t>
      </w:r>
      <w:r>
        <w:rPr>
          <w:rFonts w:hint="eastAsia" w:ascii="仿宋_GB2312" w:hAnsi="Times New Roman" w:eastAsia="仿宋_GB2312"/>
          <w:bCs/>
          <w:sz w:val="28"/>
          <w:szCs w:val="28"/>
        </w:rPr>
        <w:t>商业银行定期存款项目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类别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ind w:firstLine="1200" w:firstLineChars="40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指标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450" w:firstLineChars="15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经营状况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净资产总额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资本充足率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不良贷款率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资产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利润率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流动性比例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年度银行（全行）</w:t>
            </w: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年度报告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（另附）</w:t>
            </w:r>
            <w:bookmarkStart w:id="0" w:name="_GoBack"/>
            <w:bookmarkEnd w:id="0"/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1" w:type="dxa"/>
            <w:noWrap w:val="0"/>
            <w:vAlign w:val="top"/>
          </w:tcPr>
          <w:p>
            <w:pPr>
              <w:ind w:left="150" w:hanging="150" w:hangingChars="50"/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none"/>
              </w:rPr>
              <w:t>服务水平及</w:t>
            </w:r>
            <w:r>
              <w:rPr>
                <w:rFonts w:ascii="仿宋_GB2312" w:hAnsi="Times New Roman" w:eastAsia="仿宋_GB2312"/>
                <w:bCs/>
                <w:sz w:val="30"/>
                <w:szCs w:val="30"/>
                <w:highlight w:val="none"/>
              </w:rPr>
              <w:t>服务承诺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none"/>
              </w:rPr>
              <w:t>书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none"/>
              </w:rPr>
              <w:t>（另附）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利率水平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yellow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投标利率（%）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450" w:firstLineChars="150"/>
              <w:rPr>
                <w:rFonts w:ascii="仿宋_GB2312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bCs/>
                <w:sz w:val="30"/>
                <w:szCs w:val="30"/>
                <w:highlight w:val="yellow"/>
              </w:rPr>
            </w:pP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投标利率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较</w:t>
            </w:r>
            <w:r>
              <w:rPr>
                <w:rFonts w:ascii="仿宋_GB2312" w:hAnsi="Times New Roman" w:eastAsia="仿宋_GB2312"/>
                <w:bCs/>
                <w:sz w:val="30"/>
                <w:szCs w:val="30"/>
              </w:rPr>
              <w:t>12</w:t>
            </w:r>
            <w:r>
              <w:rPr>
                <w:rFonts w:hint="eastAsia" w:ascii="仿宋_GB2312" w:hAnsi="Times New Roman" w:eastAsia="仿宋_GB2312"/>
                <w:bCs/>
                <w:sz w:val="30"/>
                <w:szCs w:val="30"/>
              </w:rPr>
              <w:t>个月定期存款基准利率上浮比率（%）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450" w:firstLineChars="150"/>
              <w:rPr>
                <w:rFonts w:hint="eastAsia" w:ascii="仿宋_GB2312" w:hAnsi="Times New Roman" w:eastAsia="仿宋_GB2312"/>
                <w:bCs/>
                <w:sz w:val="30"/>
                <w:szCs w:val="30"/>
              </w:rPr>
            </w:pPr>
          </w:p>
        </w:tc>
      </w:tr>
    </w:tbl>
    <w:p>
      <w:pPr>
        <w:ind w:left="45"/>
        <w:rPr>
          <w:rFonts w:ascii="Times New Roman" w:hAnsi="Times New Roman" w:eastAsia="仿宋_GB2312"/>
          <w:bCs/>
          <w:sz w:val="30"/>
          <w:szCs w:val="30"/>
        </w:rPr>
      </w:pPr>
    </w:p>
    <w:p>
      <w:pPr>
        <w:ind w:left="45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投标人授权代表签字：</w:t>
      </w:r>
    </w:p>
    <w:p>
      <w:pPr>
        <w:ind w:left="45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投标人名称（公章）：</w:t>
      </w:r>
    </w:p>
    <w:p>
      <w:pPr>
        <w:ind w:left="45"/>
        <w:jc w:val="righ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     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DUwM2FmNGIxYmQ4YTUwMmU5YWQ1NDhiN2ZmMGQifQ=="/>
  </w:docVars>
  <w:rsids>
    <w:rsidRoot w:val="1F1D2BB9"/>
    <w:rsid w:val="1F1D2BB9"/>
    <w:rsid w:val="6C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2022-02-24T08:51:00Z</dcterms:created>
  <dc:creator>佳佳</dc:creator>
  <cp:lastModifiedBy>王英楠</cp:lastModifiedBy>
  <dcterms:modified xsi:type="dcterms:W3CDTF">2024-03-25T11:11:58Z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475360A334414AD4B5706F55874EB0D1</vt:lpwstr>
  </property>
</Properties>
</file>